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snapToGrid w:val="0"/>
        <w:spacing w:after="120" w:afterLines="5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全国职业院校技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能大赛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2024年双数年赛项名单</w:t>
      </w:r>
    </w:p>
    <w:tbl>
      <w:tblPr>
        <w:tblStyle w:val="2"/>
        <w:tblW w:w="102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65"/>
        <w:gridCol w:w="1176"/>
        <w:gridCol w:w="3279"/>
        <w:gridCol w:w="1676"/>
        <w:gridCol w:w="2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tblHeader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组别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赛项名称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办赛频次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专业大类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饲料营养与检测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矿井灾害应急救援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新材料智能生产与产品检验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节水系统安装与维护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ZZ049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焊接技术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汽车车身修复与美容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电子产品设计与应用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大数据应用与服务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康复技术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智慧物流作业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戏曲表演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动漫制作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ZZ059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安全保卫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ZZ060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母婴照护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中职组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ZZ025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舞台布景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每年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GZ089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环境检测与监测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建筑信息模型建模与应用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市政管线（道）数字化施工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智能电梯装配调试与检验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数控机床装调与技术改造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船舶主机和轴系安装调试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现代化工HSE技能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药品生产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高铁信号与客运组织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GZ099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集成电路应用开发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移动应用设计与开发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婴幼儿健康养育照护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关务实务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GZ106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研学旅行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GZ107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手工艺术设计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GZ108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婴幼儿照护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GZ109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人力资源服务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高职组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GZ084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舞台布景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双数年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lang w:val="en-US" w:eastAsia="zh-CN" w:bidi="ar"/>
              </w:rPr>
              <w:t>文化艺术</w:t>
            </w:r>
          </w:p>
        </w:tc>
      </w:tr>
    </w:tbl>
    <w:p>
      <w:pPr>
        <w:snapToGrid w:val="0"/>
        <w:spacing w:after="120" w:afterLines="5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GVlNzE1NmMxYjMwYjg4ZTU5NzE0MGFmM2JiMWMifQ=="/>
  </w:docVars>
  <w:rsids>
    <w:rsidRoot w:val="00000000"/>
    <w:rsid w:val="4C5E2066"/>
    <w:rsid w:val="598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2023-11-10T08:55:00Z</dcterms:created>
  <dc:creator>Administrator</dc:creator>
  <cp:lastModifiedBy>清风徐来</cp:lastModifiedBy>
  <dcterms:modified xsi:type="dcterms:W3CDTF">2023-11-13T04:53:02Z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A595C3BB1BB54064A85B42935C300F66_13</vt:lpwstr>
  </property>
</Properties>
</file>