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both"/>
        <w:rPr>
          <w:sz w:val="66"/>
          <w:szCs w:val="66"/>
        </w:rPr>
      </w:pPr>
      <w:r>
        <w:rPr>
          <w:i w:val="0"/>
          <w:iCs w:val="0"/>
          <w:caps w:val="0"/>
          <w:color w:val="4B4B4B"/>
          <w:spacing w:val="0"/>
          <w:sz w:val="66"/>
          <w:szCs w:val="66"/>
        </w:rPr>
        <w:t>教育部关于印发《高等学校实验室安全分级分类管理办法（试行）》的通知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0" w:afterAutospacing="0"/>
        <w:ind w:left="0" w:right="0"/>
        <w:jc w:val="right"/>
        <w:rPr>
          <w:sz w:val="48"/>
          <w:szCs w:val="48"/>
        </w:rPr>
      </w:pPr>
      <w:bookmarkStart w:id="0" w:name="_GoBack"/>
      <w:bookmarkEnd w:id="0"/>
      <w:r>
        <w:rPr>
          <w:rFonts w:ascii="微软雅黑" w:hAnsi="微软雅黑" w:eastAsia="微软雅黑" w:cs="微软雅黑"/>
          <w:i w:val="0"/>
          <w:iCs w:val="0"/>
          <w:caps w:val="0"/>
          <w:color w:val="4B4B4B"/>
          <w:spacing w:val="0"/>
          <w:sz w:val="48"/>
          <w:szCs w:val="48"/>
        </w:rPr>
        <w:t>教科信〔2024〕4号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现将《高等学校实验室安全分级分类管理办法（试行）》印发给你们，请结合本地本单位实际，认真组织实施。实际工作中如有意见建议，请及时反馈我部。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sz w:val="48"/>
          <w:szCs w:val="48"/>
        </w:rPr>
      </w:pPr>
      <w:r>
        <w:rPr>
          <w:rFonts w:hint="eastAsia" w:ascii="微软雅黑" w:hAnsi="微软雅黑" w:eastAsia="微软雅黑" w:cs="微软雅黑"/>
          <w:i w:val="0"/>
          <w:iCs w:val="0"/>
          <w:caps w:val="0"/>
          <w:color w:val="4B4B4B"/>
          <w:spacing w:val="0"/>
          <w:sz w:val="48"/>
          <w:szCs w:val="48"/>
        </w:rPr>
        <w:t>教　育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sz w:val="48"/>
          <w:szCs w:val="48"/>
        </w:rPr>
      </w:pPr>
      <w:r>
        <w:rPr>
          <w:rFonts w:hint="eastAsia" w:ascii="微软雅黑" w:hAnsi="微软雅黑" w:eastAsia="微软雅黑" w:cs="微软雅黑"/>
          <w:i w:val="0"/>
          <w:iCs w:val="0"/>
          <w:caps w:val="0"/>
          <w:color w:val="4B4B4B"/>
          <w:spacing w:val="0"/>
          <w:sz w:val="48"/>
          <w:szCs w:val="48"/>
        </w:rPr>
        <w:t>2024年3月26日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48"/>
          <w:szCs w:val="48"/>
        </w:rPr>
      </w:pPr>
      <w:r>
        <w:rPr>
          <w:rStyle w:val="6"/>
          <w:rFonts w:hint="eastAsia" w:ascii="微软雅黑" w:hAnsi="微软雅黑" w:eastAsia="微软雅黑" w:cs="微软雅黑"/>
          <w:i w:val="0"/>
          <w:iCs w:val="0"/>
          <w:caps w:val="0"/>
          <w:color w:val="4B4B4B"/>
          <w:spacing w:val="0"/>
          <w:sz w:val="48"/>
          <w:szCs w:val="48"/>
        </w:rPr>
        <w:t>高等学校实验室安全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48"/>
          <w:szCs w:val="48"/>
        </w:rPr>
      </w:pPr>
      <w:r>
        <w:rPr>
          <w:rStyle w:val="6"/>
          <w:rFonts w:hint="eastAsia" w:ascii="微软雅黑" w:hAnsi="微软雅黑" w:eastAsia="微软雅黑" w:cs="微软雅黑"/>
          <w:i w:val="0"/>
          <w:iCs w:val="0"/>
          <w:caps w:val="0"/>
          <w:color w:val="4B4B4B"/>
          <w:spacing w:val="0"/>
          <w:sz w:val="48"/>
          <w:szCs w:val="48"/>
        </w:rPr>
        <w:t>分级分类管理办法（试行）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48"/>
          <w:szCs w:val="48"/>
        </w:rPr>
      </w:pPr>
      <w:r>
        <w:rPr>
          <w:rStyle w:val="6"/>
          <w:rFonts w:hint="eastAsia" w:ascii="微软雅黑" w:hAnsi="微软雅黑" w:eastAsia="微软雅黑" w:cs="微软雅黑"/>
          <w:i w:val="0"/>
          <w:iCs w:val="0"/>
          <w:caps w:val="0"/>
          <w:color w:val="4B4B4B"/>
          <w:spacing w:val="0"/>
          <w:sz w:val="48"/>
          <w:szCs w:val="48"/>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第一条 为加强高等学校（以下简称高校）实验室安全精细化管理，提高高校实验室安全风险防范的针对性和有效性，依据《中华人民共和国安全生产法》等法律法规，结合高校实际情况，制定本办法。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第二条 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第三条 本办法对高校实验室安全分级分类管理的责任体系、工作原则、管理要求等作出相关规定。高校可以依据本办法，结合自身实际，制定并实施适用于本校的实验室安全分级分类管理办法。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48"/>
          <w:szCs w:val="48"/>
        </w:rPr>
      </w:pPr>
      <w:r>
        <w:rPr>
          <w:rStyle w:val="6"/>
          <w:rFonts w:hint="eastAsia" w:ascii="微软雅黑" w:hAnsi="微软雅黑" w:eastAsia="微软雅黑" w:cs="微软雅黑"/>
          <w:i w:val="0"/>
          <w:iCs w:val="0"/>
          <w:caps w:val="0"/>
          <w:color w:val="4B4B4B"/>
          <w:spacing w:val="0"/>
          <w:sz w:val="48"/>
          <w:szCs w:val="48"/>
        </w:rPr>
        <w:t>第二章 管理体系与职责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第四条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第五条 学校实验室安全主管职能部门牵头制定本校实验室安全分级分类管理办法，统筹开展全校实验室分级分类认定工作，并建立本校实验室安全分级分类管理台账，及时录入信息化管理系统或电子造册。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第六条 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第七条 实验室应按照本校实验室安全分级分类管理办法要求，判定本实验室类别和风险等级，并报本实验室所属二级单位审核确认。实验室负责人是本实验室安全分级分类管理工作的直接责任人。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48"/>
          <w:szCs w:val="48"/>
        </w:rPr>
      </w:pPr>
      <w:r>
        <w:rPr>
          <w:rStyle w:val="6"/>
          <w:rFonts w:hint="eastAsia" w:ascii="微软雅黑" w:hAnsi="微软雅黑" w:eastAsia="微软雅黑" w:cs="微软雅黑"/>
          <w:i w:val="0"/>
          <w:iCs w:val="0"/>
          <w:caps w:val="0"/>
          <w:color w:val="4B4B4B"/>
          <w:spacing w:val="0"/>
          <w:sz w:val="48"/>
          <w:szCs w:val="48"/>
        </w:rPr>
        <w:t>第三章 分级分类原则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第八条 实验室安全分级是指根据实验室中存在的危险源及其存量进行风险评价，判定本实验室安全等级。实验室安全等级可分为Ⅰ、Ⅱ、Ⅲ、Ⅳ级（或红、橙、黄、蓝级），分别对应重大风险、高风险、中风险、低风险等级的实验室。等级划分可参考《高校实验室安全分级表》（附件1）和《高校实验室安全风险评价表》（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第九条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第十条 实验室分级分类结果和所涉及的主要危险源应在实验室门外的安全信息牌上标明，并及时更新。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第十一条 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第十二条 新建、改扩建实验室时，危险源辨识和安全风险评价应与建设项目同步进行，实验室安全分级分类工作应与项目同步完成。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48"/>
          <w:szCs w:val="48"/>
        </w:rPr>
      </w:pPr>
      <w:r>
        <w:rPr>
          <w:rStyle w:val="6"/>
          <w:rFonts w:hint="eastAsia" w:ascii="微软雅黑" w:hAnsi="微软雅黑" w:eastAsia="微软雅黑" w:cs="微软雅黑"/>
          <w:i w:val="0"/>
          <w:iCs w:val="0"/>
          <w:caps w:val="0"/>
          <w:color w:val="4B4B4B"/>
          <w:spacing w:val="0"/>
          <w:sz w:val="48"/>
          <w:szCs w:val="48"/>
        </w:rPr>
        <w:t>第四章 实施与监督检查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第十三条 高校应根据实验室分级分类结果，针对不同等级实验室，制定并落实不同等级的管理要求，并按照“突出重点、全面覆盖”的原则加强实验室安全监管，及时保障实验室安全建设与投入。分级管理要求按《高校实验室分级管理要求参照表》（附件4）执行，高校可以在此基础上制定本校具体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第十四条 安全等级为Ⅰ级/红色级的实验室应报高校主管部门备案，高校主管部门对其加强监管。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第十五条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第十六条 实验室负责人、实验室安全管理员和实验人员等应根据所在实验室类别和安全等级，接受相应等级的安全培训并开展相应的应急演练。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第十七条 在实验室开展的科研项目、学生课题，或其他实验活动应进行相应等级的安全风险评估。涉及重要危险源的实验活动，二级单位应进行审查、备案，学校应不定期抽查。Ⅰ级/红色级、Ⅱ级/橙色级实验室应针对重要危险源制定相应的管理办法和应急管控措施，责任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第十八条 实验室应配备适用于其安全风险级别的安全设施设备和安全管理人员。高风险点位应安装监控和必要的监测报警装置。实验室应配备必要的个体防护设备设施。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48"/>
          <w:szCs w:val="48"/>
        </w:rPr>
      </w:pPr>
      <w:r>
        <w:rPr>
          <w:rStyle w:val="6"/>
          <w:rFonts w:hint="eastAsia" w:ascii="微软雅黑" w:hAnsi="微软雅黑" w:eastAsia="微软雅黑" w:cs="微软雅黑"/>
          <w:i w:val="0"/>
          <w:iCs w:val="0"/>
          <w:caps w:val="0"/>
          <w:color w:val="4B4B4B"/>
          <w:spacing w:val="0"/>
          <w:sz w:val="48"/>
          <w:szCs w:val="48"/>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第十九条 有关高校未按照本办法规定实际有效地开展实验室安全分级分类管理工作，造成实验室安全事故事件的，依法依规予以追责。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48"/>
          <w:szCs w:val="48"/>
        </w:rPr>
      </w:pPr>
      <w:r>
        <w:rPr>
          <w:rFonts w:hint="eastAsia" w:ascii="微软雅黑" w:hAnsi="微软雅黑" w:eastAsia="微软雅黑" w:cs="微软雅黑"/>
          <w:i w:val="0"/>
          <w:iCs w:val="0"/>
          <w:caps w:val="0"/>
          <w:color w:val="4B4B4B"/>
          <w:spacing w:val="0"/>
          <w:sz w:val="48"/>
          <w:szCs w:val="48"/>
        </w:rPr>
        <w:t>　　第二十条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WJiN2JiNWY1YWI0M2ZhZTAwYTdhMWIwMjU5YjIifQ=="/>
  </w:docVars>
  <w:rsids>
    <w:rsidRoot w:val="430C749A"/>
    <w:rsid w:val="430C749A"/>
    <w:rsid w:val="44B6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2219</Words>
  <Characters>2258</Characters>
  <Lines>0</Lines>
  <Paragraphs>0</Paragraphs>
  <TotalTime>23</TotalTime>
  <ScaleCrop>false</ScaleCrop>
  <LinksUpToDate>false</LinksUpToDate>
  <CharactersWithSpaces>2329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2024-05-24T08:50:00Z</dcterms:created>
  <dc:creator>看淡一切一切看淡</dc:creator>
  <cp:lastModifiedBy>看淡一切一切看淡</cp:lastModifiedBy>
  <dcterms:modified xsi:type="dcterms:W3CDTF">2024-05-27T02:03:21Z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F59E3E7D211A499897A4761BF98E1245_11</vt:lpwstr>
  </property>
</Properties>
</file>