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B6" w:rsidRDefault="00D332B6" w:rsidP="00D332B6">
      <w:pPr>
        <w:jc w:val="lef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D332B6" w:rsidRDefault="00D332B6" w:rsidP="00D332B6">
      <w:pPr>
        <w:spacing w:beforeLines="50" w:before="156" w:afterLines="50" w:after="156" w:line="500" w:lineRule="exact"/>
        <w:jc w:val="center"/>
        <w:rPr>
          <w:rFonts w:eastAsia="仿宋"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44"/>
          <w:szCs w:val="44"/>
        </w:rPr>
        <w:t>专业基本状态数据表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882"/>
        <w:gridCol w:w="5147"/>
        <w:gridCol w:w="831"/>
        <w:gridCol w:w="831"/>
        <w:gridCol w:w="831"/>
      </w:tblGrid>
      <w:tr w:rsidR="00D332B6" w:rsidTr="00BC144F">
        <w:trPr>
          <w:trHeight w:hRule="exact" w:val="567"/>
          <w:jc w:val="center"/>
        </w:trPr>
        <w:tc>
          <w:tcPr>
            <w:tcW w:w="9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专业基本情况</w:t>
            </w: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维度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监测指标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数据（分年度）</w:t>
            </w: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2023</w:t>
            </w: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基本情况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本专业专任教师总数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其中：在编教师数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</w:t>
            </w:r>
            <w:r>
              <w:rPr>
                <w:rFonts w:eastAsia="仿宋_GB2312"/>
                <w:kern w:val="0"/>
                <w:sz w:val="24"/>
              </w:rPr>
              <w:t>编外教师数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该专业招生数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该专业在校生数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该专业毕业生数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该专业授予学位数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本校总</w:t>
            </w:r>
            <w:proofErr w:type="gramEnd"/>
            <w:r>
              <w:rPr>
                <w:rFonts w:eastAsia="仿宋_GB2312"/>
                <w:kern w:val="0"/>
                <w:sz w:val="24"/>
              </w:rPr>
              <w:t>招生数（含提前批）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9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专业基本数据</w:t>
            </w: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维度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监测指标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数据（分年度）</w:t>
            </w: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2022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2023</w:t>
            </w: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课程与教学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教师教育课程学分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教师教育课程必修课学分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人文社会与科学素养课程学分占总学分比例（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712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学科专业课程（支撑幼儿园各领域教育的相关课程）学分占总学分比例（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合作与实践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教育实践时间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实习生数与教育实践基地数比例</w:t>
            </w:r>
            <w:r>
              <w:rPr>
                <w:rFonts w:eastAsia="仿宋_GB2312"/>
                <w:vanish/>
                <w:kern w:val="0"/>
                <w:sz w:val="24"/>
                <w:vertAlign w:val="superscript"/>
              </w:rPr>
              <w:t>]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师资队伍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生师比</w:t>
            </w:r>
            <w:r>
              <w:rPr>
                <w:rFonts w:eastAsia="仿宋_GB2312"/>
                <w:vanish/>
                <w:kern w:val="0"/>
                <w:sz w:val="24"/>
                <w:vertAlign w:val="superscript"/>
              </w:rPr>
              <w:t>]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学科课程与教学</w:t>
            </w:r>
            <w:proofErr w:type="gramStart"/>
            <w:r>
              <w:rPr>
                <w:rFonts w:eastAsia="仿宋_GB2312"/>
                <w:kern w:val="0"/>
                <w:sz w:val="24"/>
              </w:rPr>
              <w:t>论教师</w:t>
            </w:r>
            <w:proofErr w:type="gramEnd"/>
            <w:r>
              <w:rPr>
                <w:rFonts w:eastAsia="仿宋_GB2312"/>
                <w:kern w:val="0"/>
                <w:sz w:val="24"/>
              </w:rPr>
              <w:t>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教师教育课程教师占专任教师比例（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  <w:r>
              <w:rPr>
                <w:rFonts w:eastAsia="仿宋_GB2312"/>
                <w:vanish/>
                <w:kern w:val="0"/>
                <w:sz w:val="24"/>
                <w:vertAlign w:val="superscript"/>
              </w:rPr>
              <w:t>]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具有高级职称教师占专任教师比例（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学校具有高级职称教师占专任教师比例（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具有</w:t>
            </w:r>
            <w:proofErr w:type="gramStart"/>
            <w:r>
              <w:rPr>
                <w:rFonts w:eastAsia="仿宋_GB2312"/>
                <w:kern w:val="0"/>
                <w:sz w:val="24"/>
              </w:rPr>
              <w:t>硕</w:t>
            </w:r>
            <w:proofErr w:type="gramEnd"/>
            <w:r>
              <w:rPr>
                <w:rFonts w:eastAsia="仿宋_GB2312"/>
                <w:kern w:val="0"/>
                <w:sz w:val="24"/>
              </w:rPr>
              <w:t>博士学位教师占专任教师比例（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10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兼职教师占教师教育课程教师比例（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675"/>
          <w:jc w:val="center"/>
        </w:trPr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至少有一年中学教育服务经历的教师教育课程教师比例（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705"/>
          <w:jc w:val="center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每五年至少有一年中学教育服务经历的教师教育课程教师比例（</w:t>
            </w:r>
            <w:r>
              <w:rPr>
                <w:rFonts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652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支持条件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教学日常运行支出占生均拨款总额与学费收入之和的比例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均教学</w:t>
            </w:r>
            <w:proofErr w:type="gramEnd"/>
            <w:r>
              <w:rPr>
                <w:rFonts w:eastAsia="仿宋_GB2312"/>
                <w:kern w:val="0"/>
                <w:sz w:val="24"/>
              </w:rPr>
              <w:t>日常运行支出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学校生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均教学</w:t>
            </w:r>
            <w:proofErr w:type="gramEnd"/>
            <w:r>
              <w:rPr>
                <w:rFonts w:eastAsia="仿宋_GB2312"/>
                <w:kern w:val="0"/>
                <w:sz w:val="24"/>
              </w:rPr>
              <w:t>日常运行支出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生均教育实践经费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学校生均教育实践经费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567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生均教育类纸质图书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332B6" w:rsidTr="00BC144F">
        <w:trPr>
          <w:trHeight w:hRule="exact" w:val="1072"/>
          <w:jc w:val="center"/>
        </w:trPr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微格教学、语言技能、书写技能、实验教学、艺术教育实训室等教学设施（保育实践、实验教学、教学技能训练、艺术技能训练等教学设施）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B6" w:rsidRDefault="00D332B6" w:rsidP="00BC144F"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D332B6" w:rsidRDefault="00D332B6" w:rsidP="00D332B6">
      <w:pPr>
        <w:spacing w:beforeLines="50" w:before="156" w:line="400" w:lineRule="exac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kern w:val="0"/>
          <w:sz w:val="24"/>
        </w:rPr>
        <w:t>“</w:t>
      </w:r>
      <w:r>
        <w:rPr>
          <w:rFonts w:eastAsia="仿宋_GB2312"/>
          <w:kern w:val="0"/>
          <w:sz w:val="24"/>
        </w:rPr>
        <w:t>专业基本数据</w:t>
      </w:r>
      <w:r>
        <w:rPr>
          <w:rFonts w:eastAsia="仿宋_GB2312"/>
          <w:kern w:val="0"/>
          <w:sz w:val="24"/>
        </w:rPr>
        <w:t>”</w:t>
      </w:r>
      <w:r>
        <w:rPr>
          <w:rFonts w:eastAsia="仿宋_GB2312"/>
          <w:kern w:val="0"/>
          <w:sz w:val="24"/>
        </w:rPr>
        <w:t>的统计口径同教育部《师范类专业认证标准（第一级）》；各相关数据一般为当年</w:t>
      </w:r>
      <w:r>
        <w:rPr>
          <w:rFonts w:eastAsia="仿宋_GB2312"/>
          <w:kern w:val="0"/>
          <w:sz w:val="24"/>
        </w:rPr>
        <w:t>10</w:t>
      </w:r>
      <w:r>
        <w:rPr>
          <w:rFonts w:eastAsia="仿宋_GB2312"/>
          <w:kern w:val="0"/>
          <w:sz w:val="24"/>
        </w:rPr>
        <w:t>月最新数据，应与本校上报教育部教育质量评估中心的当</w:t>
      </w:r>
      <w:proofErr w:type="gramStart"/>
      <w:r>
        <w:rPr>
          <w:rFonts w:eastAsia="仿宋_GB2312"/>
          <w:kern w:val="0"/>
          <w:sz w:val="24"/>
        </w:rPr>
        <w:t>年度第</w:t>
      </w:r>
      <w:proofErr w:type="gramEnd"/>
      <w:r>
        <w:rPr>
          <w:rFonts w:eastAsia="仿宋_GB2312"/>
          <w:kern w:val="0"/>
          <w:sz w:val="24"/>
        </w:rPr>
        <w:t>一级认证监测指标的数据一致。</w:t>
      </w:r>
    </w:p>
    <w:p w:rsidR="00D332B6" w:rsidRDefault="00D332B6" w:rsidP="00D332B6">
      <w:pPr>
        <w:spacing w:beforeLines="50" w:before="156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以上数据完全属实，特此承诺。</w:t>
      </w:r>
    </w:p>
    <w:p w:rsidR="00D332B6" w:rsidRDefault="00D332B6" w:rsidP="00D332B6">
      <w:pPr>
        <w:spacing w:beforeLines="50" w:before="156"/>
        <w:jc w:val="center"/>
        <w:rPr>
          <w:rFonts w:eastAsia="仿宋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         </w:t>
      </w:r>
      <w:r>
        <w:rPr>
          <w:rFonts w:eastAsia="仿宋_GB2312"/>
          <w:bCs/>
          <w:sz w:val="32"/>
          <w:szCs w:val="32"/>
        </w:rPr>
        <w:t>专业负责人签字：</w:t>
      </w:r>
      <w:r>
        <w:rPr>
          <w:rFonts w:eastAsia="仿宋"/>
          <w:bCs/>
          <w:sz w:val="32"/>
          <w:szCs w:val="32"/>
        </w:rPr>
        <w:t>________________</w:t>
      </w:r>
    </w:p>
    <w:p w:rsidR="00DB5303" w:rsidRDefault="00DB5303" w:rsidP="00D332B6">
      <w:bookmarkStart w:id="0" w:name="_GoBack"/>
      <w:bookmarkEnd w:id="0"/>
    </w:p>
    <w:sectPr w:rsidR="00DB5303" w:rsidSect="00D332B6">
      <w:pgSz w:w="11906" w:h="16838"/>
      <w:pgMar w:top="1588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36" w:rsidRDefault="00757A36" w:rsidP="00D332B6">
      <w:r>
        <w:separator/>
      </w:r>
    </w:p>
  </w:endnote>
  <w:endnote w:type="continuationSeparator" w:id="0">
    <w:p w:rsidR="00757A36" w:rsidRDefault="00757A36" w:rsidP="00D3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36" w:rsidRDefault="00757A36" w:rsidP="00D332B6">
      <w:r>
        <w:separator/>
      </w:r>
    </w:p>
  </w:footnote>
  <w:footnote w:type="continuationSeparator" w:id="0">
    <w:p w:rsidR="00757A36" w:rsidRDefault="00757A36" w:rsidP="00D3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A4"/>
    <w:rsid w:val="006C00A4"/>
    <w:rsid w:val="00757A36"/>
    <w:rsid w:val="00D332B6"/>
    <w:rsid w:val="00D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>JSJYT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2024-09-23T07:13:00Z</dcterms:created>
  <dcterms:modified xsi:type="dcterms:W3CDTF">2024-09-23T07:14:00Z</dcterms:modified>
</cp:coreProperties>
</file>